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3C" w:rsidRDefault="0022123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2123C" w:rsidRDefault="004E54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First Internal Assessment Examination, February 2019</w:t>
      </w:r>
    </w:p>
    <w:p w:rsidR="0022123C" w:rsidRDefault="004E54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B.Com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Second Semester (Computer Applications &amp; Taxation)</w:t>
      </w:r>
    </w:p>
    <w:p w:rsidR="0022123C" w:rsidRDefault="004E54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PRINCIPLES OF BUSINESS DECISIONS</w:t>
      </w:r>
    </w:p>
    <w:p w:rsidR="0022123C" w:rsidRDefault="004E54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Answer Scheme</w:t>
      </w:r>
    </w:p>
    <w:p w:rsidR="0022123C" w:rsidRDefault="004E54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</w:t>
      </w:r>
    </w:p>
    <w:p w:rsidR="0022123C" w:rsidRDefault="004E5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Section A</w:t>
      </w: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What is managerial economics?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23C" w:rsidRDefault="004E549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Managerial Economics</w:t>
      </w:r>
      <w:r>
        <w:rPr>
          <w:rFonts w:ascii="Arial" w:eastAsia="Arial" w:hAnsi="Arial" w:cs="Arial"/>
        </w:rPr>
        <w:t xml:space="preserve"> can be defined as amalgamation of economic theory with business practices so as to ease decision-making and future planning by management. Managerial Economics assists the managers of a firm in a rational solution of obstacles faced in the firm's activiti</w:t>
      </w:r>
      <w:r>
        <w:rPr>
          <w:rFonts w:ascii="Arial" w:eastAsia="Arial" w:hAnsi="Arial" w:cs="Arial"/>
        </w:rPr>
        <w:t>es</w:t>
      </w: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What are Mechanical decisions?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Mechanical decisions are those taken when the problem is simple and the output is certain and clear.</w:t>
      </w: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State the law of demand.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law of demand states that, "conditional on all else being equal, as the price of a good in</w:t>
      </w:r>
      <w:r>
        <w:rPr>
          <w:rFonts w:ascii="Times New Roman" w:eastAsia="Times New Roman" w:hAnsi="Times New Roman" w:cs="Times New Roman"/>
          <w:sz w:val="24"/>
          <w:szCs w:val="24"/>
        </w:rPr>
        <w:t>creases, quantity demanded decreases; conversely, as the price of a good decreases, quantity demanded increases</w:t>
      </w: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What is </w:t>
      </w:r>
      <w:r>
        <w:rPr>
          <w:rFonts w:ascii="Arial" w:eastAsia="Arial" w:hAnsi="Arial" w:cs="Arial"/>
        </w:rPr>
        <w:t>limiting factor</w:t>
      </w:r>
      <w:r>
        <w:rPr>
          <w:rFonts w:ascii="Arial" w:eastAsia="Arial" w:hAnsi="Arial" w:cs="Arial"/>
          <w:color w:val="000000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Limiting factor is any factor that restricts a company or an organisation’s activities. In simple words, a limiting factor is the factor which is limited or not freely available to the company. Limiting factors in an organisation can be labour time, raw ma</w:t>
      </w:r>
      <w:r>
        <w:rPr>
          <w:rFonts w:ascii="Times New Roman" w:eastAsia="Times New Roman" w:hAnsi="Times New Roman" w:cs="Times New Roman"/>
          <w:sz w:val="24"/>
          <w:szCs w:val="24"/>
        </w:rPr>
        <w:t>terial, machine hours or space.</w:t>
      </w: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What is utility?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Utility is the want-satisfying "power" of any commodity or the capacity of a commodity to give satisfaction. Utility may measure how much one enjoys a movie, or the sense of security one gets from buying a </w:t>
      </w:r>
      <w:r>
        <w:rPr>
          <w:rFonts w:ascii="Times New Roman" w:eastAsia="Times New Roman" w:hAnsi="Times New Roman" w:cs="Times New Roman"/>
          <w:sz w:val="24"/>
          <w:szCs w:val="24"/>
        </w:rPr>
        <w:t>deadbolt.</w:t>
      </w: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What is Decision?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23C" w:rsidRDefault="004E549E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Decision is a choice made between alternative courses of action in a situation of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uncertainity.It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a conclusion or resolution reached after considering several possibilities.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(5 X 2 = 10 marks)</w:t>
      </w:r>
    </w:p>
    <w:p w:rsidR="0022123C" w:rsidRDefault="004E549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Sectio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B</w:t>
      </w: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Answer any 5 questions. Each question carries 5 marks.</w:t>
      </w: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What are the elements of decision making?</w:t>
      </w:r>
    </w:p>
    <w:p w:rsidR="0022123C" w:rsidRDefault="004E54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Concept of best decision</w:t>
      </w:r>
    </w:p>
    <w:p w:rsidR="0022123C" w:rsidRDefault="004E54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Organizational environment of the company</w:t>
      </w:r>
    </w:p>
    <w:p w:rsidR="0022123C" w:rsidRDefault="004E54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Psychological elements</w:t>
      </w:r>
    </w:p>
    <w:p w:rsidR="0022123C" w:rsidRDefault="004E54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Timing of decisions</w:t>
      </w:r>
    </w:p>
    <w:p w:rsidR="0022123C" w:rsidRDefault="004E54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Communication of decisions</w:t>
      </w:r>
    </w:p>
    <w:p w:rsidR="0022123C" w:rsidRDefault="004E54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Participation of employees</w:t>
      </w:r>
    </w:p>
    <w:p w:rsidR="0022123C" w:rsidRDefault="004E54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Key factor</w:t>
      </w: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What are the limitations to the law of demand?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23C" w:rsidRDefault="004E54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Inferior goods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Giffen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goods</w:t>
      </w:r>
    </w:p>
    <w:p w:rsidR="0022123C" w:rsidRDefault="004E54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Status goods or prestige goods</w:t>
      </w:r>
    </w:p>
    <w:p w:rsidR="0022123C" w:rsidRDefault="004E54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Anticipation regarding changes in price</w:t>
      </w:r>
    </w:p>
    <w:p w:rsidR="0022123C" w:rsidRDefault="004E54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Depression</w:t>
      </w:r>
    </w:p>
    <w:p w:rsidR="0022123C" w:rsidRDefault="004E54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 in fashion</w:t>
      </w:r>
    </w:p>
    <w:p w:rsidR="0022123C" w:rsidRDefault="004E54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Brand loyalty</w:t>
      </w:r>
    </w:p>
    <w:p w:rsidR="0022123C" w:rsidRDefault="004E54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Emergencies</w:t>
      </w: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Explain the important economic concepts and theories applied in decision making?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23C" w:rsidRDefault="004E54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Incremental reasoning- Incremental cost is the change in total cost resulting from a particular decision. Incremental revenue is the change in total revenue resulting from a </w:t>
      </w:r>
      <w:r>
        <w:rPr>
          <w:rFonts w:ascii="Times New Roman" w:eastAsia="Times New Roman" w:hAnsi="Times New Roman" w:cs="Times New Roman"/>
          <w:sz w:val="24"/>
          <w:szCs w:val="24"/>
        </w:rPr>
        <w:t>particular decision.</w:t>
      </w:r>
    </w:p>
    <w:p w:rsidR="0022123C" w:rsidRDefault="004E54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Concept of time perspective- The real important problem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decisionmaking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to maintain the right balances between the long run and short-run considerations,</w:t>
      </w:r>
    </w:p>
    <w:p w:rsidR="0022123C" w:rsidRDefault="004E54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Discounting Principles- The concept of time value of money considers that mo</w:t>
      </w:r>
      <w:r>
        <w:rPr>
          <w:rFonts w:ascii="Times New Roman" w:eastAsia="Times New Roman" w:hAnsi="Times New Roman" w:cs="Times New Roman"/>
          <w:sz w:val="24"/>
          <w:szCs w:val="24"/>
        </w:rPr>
        <w:t>ney earned in an earlier period is more valuable than the same amount of money earned in a later period.</w:t>
      </w:r>
    </w:p>
    <w:p w:rsidR="0022123C" w:rsidRDefault="004E54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Opportunity Cost Concept- It is the benefit foregone or sacrificed by rejecting a particular alternative to another competing alternative choice.</w:t>
      </w:r>
    </w:p>
    <w:p w:rsidR="0022123C" w:rsidRDefault="004E54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marginal principal- The principles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provides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base for maximum exploitation of all the resources(inputs) of a firm, so as to maximise its profit.</w:t>
      </w:r>
    </w:p>
    <w:p w:rsidR="0022123C" w:rsidRDefault="004E54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Contribution Concept- It helps in determining the best product mix when allocation of scarce resources is involved.</w:t>
      </w:r>
    </w:p>
    <w:p w:rsidR="0022123C" w:rsidRDefault="004E54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Risk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Uncertainity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Management  often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deals with decisions which have long-term impact.</w:t>
      </w: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Explain the different decision making environments</w:t>
      </w:r>
      <w:r>
        <w:rPr>
          <w:rFonts w:ascii="Arial" w:eastAsia="Arial" w:hAnsi="Arial" w:cs="Arial"/>
          <w:color w:val="000000"/>
        </w:rPr>
        <w:t>.</w:t>
      </w: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decisions taken under different situations and environment can be broadly classified as 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23C" w:rsidRDefault="004E54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Decisions under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certainity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certainity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 mean that the environment or condition in which decision is taken is sure and certain.</w:t>
      </w:r>
    </w:p>
    <w:p w:rsidR="0022123C" w:rsidRDefault="004E54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Decisions  under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uncertainity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Uncertainity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condition in which the decision maker is not at all aware of the events that may likely to come in a given situation.</w:t>
      </w:r>
    </w:p>
    <w:p w:rsidR="0022123C" w:rsidRDefault="004E54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Decisions under risk- Under the condition of risk, there are more than one possible event</w:t>
      </w:r>
      <w:r>
        <w:rPr>
          <w:rFonts w:ascii="Times New Roman" w:eastAsia="Times New Roman" w:hAnsi="Times New Roman" w:cs="Times New Roman"/>
          <w:sz w:val="24"/>
          <w:szCs w:val="24"/>
        </w:rPr>
        <w:t>s that can take place and the chance of happening is almost sure to a certain extent.</w:t>
      </w: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What are the types of demand?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23C" w:rsidRDefault="004E549E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The different types of demand are as follows:</w:t>
      </w:r>
    </w:p>
    <w:p w:rsidR="0022123C" w:rsidRDefault="004E549E">
      <w:pPr>
        <w:spacing w:after="0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i</w:t>
      </w:r>
      <w:proofErr w:type="spellEnd"/>
      <w:r>
        <w:rPr>
          <w:rFonts w:ascii="Arial" w:eastAsia="Arial" w:hAnsi="Arial" w:cs="Arial"/>
          <w:b/>
        </w:rPr>
        <w:t>. Individual and Market Demand: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refers to the classification of demand of a product based on the number of consumers in the market.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Individual demand can be defined as a quantity demanded by an individual for a product at a particular price and within the specific period of time.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Mark</w:t>
      </w:r>
      <w:r>
        <w:rPr>
          <w:rFonts w:ascii="Arial" w:eastAsia="Arial" w:hAnsi="Arial" w:cs="Arial"/>
        </w:rPr>
        <w:t>et demand is the aggregate of individual demands of all the consumers of a product over a period of time at a specific price, while other factors are constant.</w:t>
      </w:r>
    </w:p>
    <w:p w:rsidR="0022123C" w:rsidRDefault="004E549E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 Organization and Industry Demand: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refers to the classification of demand on the basis o</w:t>
      </w:r>
      <w:r>
        <w:rPr>
          <w:rFonts w:ascii="Arial" w:eastAsia="Arial" w:hAnsi="Arial" w:cs="Arial"/>
        </w:rPr>
        <w:t>f market.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demand for the products of an organization at given price over a point of time is known as organization demand. 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The sum total of demand for products of all organizations in a particular industry is known as industry demand.</w:t>
      </w:r>
    </w:p>
    <w:p w:rsidR="0022123C" w:rsidRDefault="004E549E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 Autonomous a</w:t>
      </w:r>
      <w:r>
        <w:rPr>
          <w:rFonts w:ascii="Arial" w:eastAsia="Arial" w:hAnsi="Arial" w:cs="Arial"/>
          <w:b/>
        </w:rPr>
        <w:t>nd Derived Demand: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refers to the classification of demand on the basis of dependency on other products.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demand for a product that is not associated with the demand of other products is known as autonomous or direct demand. The autonomous demand ar</w:t>
      </w:r>
      <w:r>
        <w:rPr>
          <w:rFonts w:ascii="Arial" w:eastAsia="Arial" w:hAnsi="Arial" w:cs="Arial"/>
        </w:rPr>
        <w:t>ises due to the natural desire of an individual to consume the product.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 the other hand, derived demand refers to the demand for a product that arises due to the demand for other products. Moreover, the demand for substitutes and complementary goods is also derived demand.</w:t>
      </w:r>
    </w:p>
    <w:p w:rsidR="0022123C" w:rsidRDefault="004E549E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 Demand for Perishable and Durable Goods: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re</w:t>
      </w:r>
      <w:r>
        <w:rPr>
          <w:rFonts w:ascii="Arial" w:eastAsia="Arial" w:hAnsi="Arial" w:cs="Arial"/>
        </w:rPr>
        <w:t>fers to the classification of demand on the basis of usage of goods. The goods are divided into two categories, perishable goods and durable goods.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Perishable or non-durable goods refer to the goods that have a single use.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the other hand, durable goods </w:t>
      </w:r>
      <w:r>
        <w:rPr>
          <w:rFonts w:ascii="Arial" w:eastAsia="Arial" w:hAnsi="Arial" w:cs="Arial"/>
        </w:rPr>
        <w:t>refer to goods that can be used repeatedly.</w:t>
      </w:r>
    </w:p>
    <w:p w:rsidR="0022123C" w:rsidRDefault="004E549E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 Short-term and Long-term Demand: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refers to the classification of demand on the basis of time period.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Short-term demand refers to the demand for products that are used for a shorter duration of time or for</w:t>
      </w:r>
      <w:r>
        <w:rPr>
          <w:rFonts w:ascii="Arial" w:eastAsia="Arial" w:hAnsi="Arial" w:cs="Arial"/>
        </w:rPr>
        <w:t xml:space="preserve"> current period. This demand depends on the current tastes and preferences of consumers.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 the other hand, long-term demand refers to the demand for products over a longer period of time.</w:t>
      </w:r>
    </w:p>
    <w:p w:rsidR="0022123C" w:rsidRDefault="004E549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Generally, durable goods have long-term demand.</w:t>
      </w:r>
    </w:p>
    <w:p w:rsidR="0022123C" w:rsidRDefault="002212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Differentiate betw</w:t>
      </w:r>
      <w:r>
        <w:rPr>
          <w:rFonts w:ascii="Arial" w:eastAsia="Arial" w:hAnsi="Arial" w:cs="Arial"/>
          <w:color w:val="000000"/>
        </w:rPr>
        <w:t>een Movement and shift in demand?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2123C" w:rsidRDefault="002212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7"/>
        <w:gridCol w:w="3203"/>
        <w:gridCol w:w="3887"/>
      </w:tblGrid>
      <w:tr w:rsidR="0022123C">
        <w:trPr>
          <w:trHeight w:val="1050"/>
        </w:trPr>
        <w:tc>
          <w:tcPr>
            <w:tcW w:w="222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123C" w:rsidRDefault="004E549E">
            <w:pPr>
              <w:spacing w:after="220" w:line="365" w:lineRule="auto"/>
              <w:ind w:left="720"/>
              <w:jc w:val="center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 xml:space="preserve">BASIS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123C" w:rsidRDefault="004E549E">
            <w:pPr>
              <w:spacing w:after="220" w:line="365" w:lineRule="auto"/>
              <w:ind w:left="720"/>
              <w:jc w:val="center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>MOVEMENT IN DEMAND CURVE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123C" w:rsidRDefault="004E549E">
            <w:pPr>
              <w:spacing w:after="220" w:line="365" w:lineRule="auto"/>
              <w:ind w:left="720"/>
              <w:jc w:val="center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b/>
                <w:color w:val="222222"/>
              </w:rPr>
              <w:t>SHIFT IN DEMAND CURVE</w:t>
            </w:r>
          </w:p>
        </w:tc>
      </w:tr>
      <w:tr w:rsidR="0022123C">
        <w:trPr>
          <w:trHeight w:val="3900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Meaning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Movement in the demand curve is when the commodity experience change in both the quantity demanded and price, causing the curve to move in a specific direction.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The shift in the demand curve is when, the price of the commodity remains constant, but there i</w:t>
            </w:r>
            <w:r>
              <w:rPr>
                <w:rFonts w:ascii="Arial" w:eastAsia="Arial" w:hAnsi="Arial" w:cs="Arial"/>
                <w:color w:val="222222"/>
              </w:rPr>
              <w:t>s a change in quantity demanded due to some other factors, causing the curve to shift to a particular side.</w:t>
            </w:r>
          </w:p>
        </w:tc>
      </w:tr>
      <w:tr w:rsidR="0022123C">
        <w:trPr>
          <w:trHeight w:val="2055"/>
        </w:trPr>
        <w:tc>
          <w:tcPr>
            <w:tcW w:w="22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lastRenderedPageBreak/>
              <w:t>Curve</w:t>
            </w:r>
          </w:p>
        </w:tc>
        <w:tc>
          <w:tcPr>
            <w:tcW w:w="320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noProof/>
                <w:color w:val="222222"/>
              </w:rPr>
              <w:drawing>
                <wp:inline distT="114300" distB="114300" distL="114300" distR="114300">
                  <wp:extent cx="1206500" cy="1143000"/>
                  <wp:effectExtent l="0" t="0" r="0" b="0"/>
                  <wp:docPr id="1" name="image1.jpg" descr="movement in demand cur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ovement in demand curv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noProof/>
                <w:color w:val="222222"/>
              </w:rPr>
              <w:drawing>
                <wp:inline distT="114300" distB="114300" distL="114300" distR="114300">
                  <wp:extent cx="1168400" cy="1143000"/>
                  <wp:effectExtent l="0" t="0" r="0" b="0"/>
                  <wp:docPr id="2" name="image2.jpg" descr="shift in demand cur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shift in demand curv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23C">
        <w:trPr>
          <w:trHeight w:val="1065"/>
        </w:trPr>
        <w:tc>
          <w:tcPr>
            <w:tcW w:w="22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What is it?</w:t>
            </w:r>
          </w:p>
        </w:tc>
        <w:tc>
          <w:tcPr>
            <w:tcW w:w="320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Change along the curve.</w:t>
            </w:r>
          </w:p>
        </w:tc>
        <w:tc>
          <w:tcPr>
            <w:tcW w:w="388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Change in the position of the curve.</w:t>
            </w:r>
          </w:p>
        </w:tc>
      </w:tr>
      <w:tr w:rsidR="0022123C">
        <w:trPr>
          <w:trHeight w:val="660"/>
        </w:trPr>
        <w:tc>
          <w:tcPr>
            <w:tcW w:w="22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Determinant</w:t>
            </w:r>
          </w:p>
        </w:tc>
        <w:tc>
          <w:tcPr>
            <w:tcW w:w="320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Price</w:t>
            </w:r>
          </w:p>
        </w:tc>
        <w:tc>
          <w:tcPr>
            <w:tcW w:w="388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Non-price</w:t>
            </w:r>
          </w:p>
        </w:tc>
      </w:tr>
      <w:tr w:rsidR="0022123C">
        <w:trPr>
          <w:trHeight w:val="1065"/>
        </w:trPr>
        <w:tc>
          <w:tcPr>
            <w:tcW w:w="22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Indicates</w:t>
            </w:r>
          </w:p>
        </w:tc>
        <w:tc>
          <w:tcPr>
            <w:tcW w:w="320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Change in Quantity Demanded</w:t>
            </w:r>
          </w:p>
        </w:tc>
        <w:tc>
          <w:tcPr>
            <w:tcW w:w="388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Change in Demand</w:t>
            </w:r>
          </w:p>
        </w:tc>
      </w:tr>
      <w:tr w:rsidR="0022123C">
        <w:trPr>
          <w:trHeight w:val="1470"/>
        </w:trPr>
        <w:tc>
          <w:tcPr>
            <w:tcW w:w="22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Result</w:t>
            </w:r>
          </w:p>
        </w:tc>
        <w:tc>
          <w:tcPr>
            <w:tcW w:w="320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Demand Curve will move upward or downward.</w:t>
            </w:r>
          </w:p>
        </w:tc>
        <w:tc>
          <w:tcPr>
            <w:tcW w:w="388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123C" w:rsidRDefault="004E549E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Demand Curve will shift rightward or leftward.</w:t>
            </w:r>
          </w:p>
          <w:p w:rsidR="0022123C" w:rsidRDefault="0022123C">
            <w:pPr>
              <w:spacing w:after="220" w:line="365" w:lineRule="auto"/>
              <w:ind w:left="720"/>
              <w:jc w:val="both"/>
              <w:rPr>
                <w:rFonts w:ascii="Arial" w:eastAsia="Arial" w:hAnsi="Arial" w:cs="Arial"/>
                <w:color w:val="222222"/>
              </w:rPr>
            </w:pPr>
          </w:p>
        </w:tc>
      </w:tr>
    </w:tbl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 X 5 = 25 marks)</w:t>
      </w: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 C</w:t>
      </w: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Answer any 1 question. It carries 15marks.</w:t>
      </w: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</w:rPr>
        <w:t>Explain  the</w:t>
      </w:r>
      <w:proofErr w:type="gramEnd"/>
      <w:r>
        <w:rPr>
          <w:rFonts w:ascii="Arial" w:eastAsia="Arial" w:hAnsi="Arial" w:cs="Arial"/>
          <w:color w:val="000000"/>
        </w:rPr>
        <w:t xml:space="preserve"> law of diminishing Marginal utility with its assumptions and exceptions</w:t>
      </w: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law has been developed by the classical economist, </w:t>
      </w:r>
      <w:proofErr w:type="spellStart"/>
      <w:r>
        <w:rPr>
          <w:rFonts w:ascii="Arial" w:eastAsia="Arial" w:hAnsi="Arial" w:cs="Arial"/>
        </w:rPr>
        <w:t>Prof.</w:t>
      </w:r>
      <w:proofErr w:type="spellEnd"/>
      <w:r>
        <w:rPr>
          <w:rFonts w:ascii="Arial" w:eastAsia="Arial" w:hAnsi="Arial" w:cs="Arial"/>
        </w:rPr>
        <w:t xml:space="preserve"> Alfred </w:t>
      </w:r>
      <w:proofErr w:type="spellStart"/>
      <w:r>
        <w:rPr>
          <w:rFonts w:ascii="Arial" w:eastAsia="Arial" w:hAnsi="Arial" w:cs="Arial"/>
        </w:rPr>
        <w:t>Marshal.The</w:t>
      </w:r>
      <w:proofErr w:type="spellEnd"/>
      <w:r>
        <w:rPr>
          <w:rFonts w:ascii="Arial" w:eastAsia="Arial" w:hAnsi="Arial" w:cs="Arial"/>
        </w:rPr>
        <w:t xml:space="preserve"> law states that: As consumer consumes more and more units of a commodity, the additional u</w:t>
      </w:r>
      <w:r>
        <w:rPr>
          <w:rFonts w:ascii="Arial" w:eastAsia="Arial" w:hAnsi="Arial" w:cs="Arial"/>
        </w:rPr>
        <w:t>tility obtained from each additional units goes on decreasing.</w:t>
      </w: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ASSUMPTIONS</w:t>
      </w:r>
    </w:p>
    <w:p w:rsidR="0022123C" w:rsidRDefault="004E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units of commodity should be of normal and homogeneous in size and quality.</w:t>
      </w:r>
    </w:p>
    <w:p w:rsidR="0022123C" w:rsidRDefault="004E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should not be any time lag in the consumption of successive units of the commodity.</w:t>
      </w:r>
    </w:p>
    <w:p w:rsidR="0022123C" w:rsidRDefault="004E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consumer should be rational.</w:t>
      </w:r>
    </w:p>
    <w:p w:rsidR="0022123C" w:rsidRDefault="004E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habits, tastes, income and fashion of the consumer should remain the same.</w:t>
      </w:r>
    </w:p>
    <w:p w:rsidR="0022123C" w:rsidRDefault="004E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should not be any change in the price of the commodity and related price.</w:t>
      </w:r>
    </w:p>
    <w:p w:rsidR="0022123C" w:rsidRDefault="004E54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Utility is measurable in cardinal numbers.</w:t>
      </w:r>
    </w:p>
    <w:p w:rsidR="0022123C" w:rsidRDefault="0022123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EXCEPTIONS OF THE LAW</w:t>
      </w:r>
    </w:p>
    <w:p w:rsidR="0022123C" w:rsidRDefault="004E54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law does not apply to rare collections, such as old coins, stamps etc.</w:t>
      </w:r>
    </w:p>
    <w:p w:rsidR="0022123C" w:rsidRDefault="004E54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law is not fully applicable in the case of </w:t>
      </w:r>
      <w:proofErr w:type="spellStart"/>
      <w:proofErr w:type="gramStart"/>
      <w:r>
        <w:rPr>
          <w:rFonts w:ascii="Arial" w:eastAsia="Arial" w:hAnsi="Arial" w:cs="Arial"/>
        </w:rPr>
        <w:t>money.This</w:t>
      </w:r>
      <w:proofErr w:type="spellEnd"/>
      <w:proofErr w:type="gramEnd"/>
      <w:r>
        <w:rPr>
          <w:rFonts w:ascii="Arial" w:eastAsia="Arial" w:hAnsi="Arial" w:cs="Arial"/>
        </w:rPr>
        <w:t xml:space="preserve"> is because man is not completely satisfied with money.</w:t>
      </w:r>
    </w:p>
    <w:p w:rsidR="0022123C" w:rsidRDefault="004E54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Marginal utility </w:t>
      </w:r>
      <w:proofErr w:type="gramStart"/>
      <w:r>
        <w:rPr>
          <w:rFonts w:ascii="Arial" w:eastAsia="Arial" w:hAnsi="Arial" w:cs="Arial"/>
        </w:rPr>
        <w:t>of  certain</w:t>
      </w:r>
      <w:proofErr w:type="gramEnd"/>
      <w:r>
        <w:rPr>
          <w:rFonts w:ascii="Arial" w:eastAsia="Arial" w:hAnsi="Arial" w:cs="Arial"/>
        </w:rPr>
        <w:t xml:space="preserve"> commodities(like </w:t>
      </w:r>
      <w:r>
        <w:rPr>
          <w:rFonts w:ascii="Arial" w:eastAsia="Arial" w:hAnsi="Arial" w:cs="Arial"/>
        </w:rPr>
        <w:t>telephone) depends not only on one stock of that commodity, but also on what other possess</w:t>
      </w:r>
    </w:p>
    <w:p w:rsidR="0022123C" w:rsidRDefault="004E54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What is decision making? What are the steps in decision making?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Decision making is the process of choosing a particular course of action from among various alternatives to accomplish the predetermined objectives of the management.</w:t>
      </w: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Steps in Decision making:</w:t>
      </w:r>
    </w:p>
    <w:p w:rsidR="0022123C" w:rsidRDefault="004E54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Defining the problem</w:t>
      </w:r>
    </w:p>
    <w:p w:rsidR="0022123C" w:rsidRDefault="004E54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Analysing the problem</w:t>
      </w:r>
    </w:p>
    <w:p w:rsidR="0022123C" w:rsidRDefault="004E54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Developing alternati</w:t>
      </w:r>
      <w:r>
        <w:rPr>
          <w:rFonts w:ascii="Times New Roman" w:eastAsia="Times New Roman" w:hAnsi="Times New Roman" w:cs="Times New Roman"/>
          <w:sz w:val="24"/>
          <w:szCs w:val="24"/>
        </w:rPr>
        <w:t>ves</w:t>
      </w:r>
    </w:p>
    <w:p w:rsidR="0022123C" w:rsidRDefault="004E54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Evaluating alternatives</w:t>
      </w:r>
    </w:p>
    <w:p w:rsidR="0022123C" w:rsidRDefault="004E54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Selecting the best alternative</w:t>
      </w:r>
    </w:p>
    <w:p w:rsidR="0022123C" w:rsidRDefault="004E54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Implementing the decision</w:t>
      </w:r>
    </w:p>
    <w:p w:rsidR="0022123C" w:rsidRDefault="004E54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Follow-up action</w:t>
      </w:r>
    </w:p>
    <w:p w:rsidR="0022123C" w:rsidRDefault="004E54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 X 15 = 15 marks)</w:t>
      </w:r>
    </w:p>
    <w:p w:rsidR="0022123C" w:rsidRDefault="002212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23C" w:rsidRDefault="004E54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br/>
        <w:t>Scan QR code for the answer scheme</w:t>
      </w:r>
    </w:p>
    <w:sectPr w:rsidR="0022123C">
      <w:headerReference w:type="default" r:id="rId9"/>
      <w:footerReference w:type="default" r:id="rId10"/>
      <w:pgSz w:w="12240" w:h="15840"/>
      <w:pgMar w:top="270" w:right="1483" w:bottom="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9E" w:rsidRDefault="004E549E">
      <w:pPr>
        <w:spacing w:after="0" w:line="240" w:lineRule="auto"/>
      </w:pPr>
      <w:r>
        <w:separator/>
      </w:r>
    </w:p>
  </w:endnote>
  <w:endnote w:type="continuationSeparator" w:id="0">
    <w:p w:rsidR="004E549E" w:rsidRDefault="004E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23C" w:rsidRDefault="004E54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ab/>
    </w:r>
  </w:p>
  <w:p w:rsidR="0022123C" w:rsidRDefault="002212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9E" w:rsidRDefault="004E549E">
      <w:pPr>
        <w:spacing w:after="0" w:line="240" w:lineRule="auto"/>
      </w:pPr>
      <w:r>
        <w:separator/>
      </w:r>
    </w:p>
  </w:footnote>
  <w:footnote w:type="continuationSeparator" w:id="0">
    <w:p w:rsidR="004E549E" w:rsidRDefault="004E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23C" w:rsidRDefault="002212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562" w:right="-468"/>
      <w:rPr>
        <w:rFonts w:ascii="Arabic Typesetting" w:eastAsia="Arabic Typesetting" w:hAnsi="Arabic Typesetting" w:cs="Arabic Typesetting"/>
        <w:i/>
        <w:color w:val="4F81BD"/>
        <w:sz w:val="18"/>
        <w:szCs w:val="18"/>
      </w:rPr>
    </w:pPr>
  </w:p>
  <w:p w:rsidR="0022123C" w:rsidRDefault="004E54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562" w:right="-468"/>
      <w:rPr>
        <w:color w:val="000000"/>
      </w:rPr>
    </w:pPr>
    <w:r>
      <w:rPr>
        <w:rFonts w:ascii="Arabic Typesetting" w:eastAsia="Arabic Typesetting" w:hAnsi="Arabic Typesetting" w:cs="Arabic Typesetting"/>
        <w:i/>
        <w:color w:val="4F81BD"/>
        <w:sz w:val="18"/>
        <w:szCs w:val="18"/>
      </w:rPr>
      <w:tab/>
    </w:r>
    <w:r>
      <w:rPr>
        <w:rFonts w:ascii="Arabic Typesetting" w:eastAsia="Arabic Typesetting" w:hAnsi="Arabic Typesetting" w:cs="Arabic Typesetting"/>
        <w:i/>
        <w:color w:val="4F81BD"/>
        <w:sz w:val="18"/>
        <w:szCs w:val="18"/>
      </w:rPr>
      <w:tab/>
      <w:t>PG DEPARTMENT OF COMMERCE-IE/2019/I/B&amp;I</w:t>
    </w:r>
  </w:p>
  <w:p w:rsidR="0022123C" w:rsidRDefault="002212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2F57"/>
    <w:multiLevelType w:val="multilevel"/>
    <w:tmpl w:val="A78424C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A942348"/>
    <w:multiLevelType w:val="multilevel"/>
    <w:tmpl w:val="72E66E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9BF0F41"/>
    <w:multiLevelType w:val="multilevel"/>
    <w:tmpl w:val="E50A3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2284B"/>
    <w:multiLevelType w:val="multilevel"/>
    <w:tmpl w:val="FF70F95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4D114A7F"/>
    <w:multiLevelType w:val="multilevel"/>
    <w:tmpl w:val="63D8CD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38557E4"/>
    <w:multiLevelType w:val="multilevel"/>
    <w:tmpl w:val="1DCA380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7B8443C"/>
    <w:multiLevelType w:val="multilevel"/>
    <w:tmpl w:val="E3FE157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7A65AF6"/>
    <w:multiLevelType w:val="multilevel"/>
    <w:tmpl w:val="CD2C88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3C"/>
    <w:rsid w:val="0022123C"/>
    <w:rsid w:val="004E549E"/>
    <w:rsid w:val="009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3667AA-D1E2-47A9-9AEB-86BFDD6D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MIDHUN C R SCAS LIBRARY</dc:creator>
  <cp:lastModifiedBy>MIDHUN C R SCAS LIBRARY</cp:lastModifiedBy>
  <cp:revision>2</cp:revision>
  <dcterms:created xsi:type="dcterms:W3CDTF">2020-12-28T09:02:00Z</dcterms:created>
  <dcterms:modified xsi:type="dcterms:W3CDTF">2020-12-28T09:02:00Z</dcterms:modified>
</cp:coreProperties>
</file>